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15639" w14:textId="23913439" w:rsidR="000C5E86" w:rsidRDefault="00692ECD" w:rsidP="000C5E86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</w:pPr>
      <w:r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WiN </w:t>
      </w:r>
      <w:r w:rsidR="00614212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Global </w:t>
      </w:r>
      <w:r w:rsidR="00ED67D0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>Honorary</w:t>
      </w:r>
      <w:r w:rsidR="00F51060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 </w:t>
      </w:r>
      <w:r w:rsidR="0004128F" w:rsidRPr="0004128F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>Award</w:t>
      </w:r>
      <w:r w:rsidR="00BF194E">
        <w:rPr>
          <w:rFonts w:ascii="Arial" w:eastAsia="Times New Roman" w:hAnsi="Arial" w:cs="Arial"/>
          <w:color w:val="1E9DD8"/>
          <w:kern w:val="36"/>
          <w:sz w:val="48"/>
          <w:szCs w:val="48"/>
          <w:lang w:eastAsia="en-GB"/>
        </w:rPr>
        <w:t xml:space="preserve"> Arrangements</w:t>
      </w:r>
    </w:p>
    <w:tbl>
      <w:tblPr>
        <w:tblStyle w:val="TableGrid1"/>
        <w:tblW w:w="9356" w:type="dxa"/>
        <w:tblInd w:w="-289" w:type="dxa"/>
        <w:tblLook w:val="04A0" w:firstRow="1" w:lastRow="0" w:firstColumn="1" w:lastColumn="0" w:noHBand="0" w:noVBand="1"/>
      </w:tblPr>
      <w:tblGrid>
        <w:gridCol w:w="2074"/>
        <w:gridCol w:w="2301"/>
        <w:gridCol w:w="2295"/>
        <w:gridCol w:w="2686"/>
      </w:tblGrid>
      <w:tr w:rsidR="00F06BAB" w14:paraId="1322249F" w14:textId="77777777" w:rsidTr="004C7690">
        <w:tc>
          <w:tcPr>
            <w:tcW w:w="2074" w:type="dxa"/>
          </w:tcPr>
          <w:p w14:paraId="11A5D161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Owner:</w:t>
            </w:r>
          </w:p>
        </w:tc>
        <w:tc>
          <w:tcPr>
            <w:tcW w:w="2301" w:type="dxa"/>
          </w:tcPr>
          <w:p w14:paraId="215E35B4" w14:textId="716304B0" w:rsidR="00F06BAB" w:rsidRPr="00F06BAB" w:rsidRDefault="002B29A0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WiN Global 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Award</w:t>
            </w:r>
            <w:r w:rsidR="00130649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s</w:t>
            </w:r>
            <w:r w:rsidR="0004128F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Committee</w:t>
            </w: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 xml:space="preserve"> Chair</w:t>
            </w:r>
          </w:p>
        </w:tc>
        <w:tc>
          <w:tcPr>
            <w:tcW w:w="2295" w:type="dxa"/>
          </w:tcPr>
          <w:p w14:paraId="363F0E76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Document No:</w:t>
            </w:r>
          </w:p>
        </w:tc>
        <w:tc>
          <w:tcPr>
            <w:tcW w:w="2686" w:type="dxa"/>
          </w:tcPr>
          <w:p w14:paraId="2C1A9711" w14:textId="0B21CCFD" w:rsidR="00F06BAB" w:rsidRPr="00F06BAB" w:rsidRDefault="0004128F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PRO000</w:t>
            </w:r>
            <w:r w:rsidR="00145185">
              <w:rPr>
                <w:rFonts w:ascii="Arial" w:eastAsia="Times New Roman" w:hAnsi="Arial" w:cs="Arial"/>
                <w:kern w:val="36"/>
                <w:sz w:val="20"/>
                <w:szCs w:val="20"/>
                <w:lang w:eastAsia="en-GB"/>
              </w:rPr>
              <w:t>5</w:t>
            </w:r>
          </w:p>
        </w:tc>
      </w:tr>
      <w:tr w:rsidR="00F06BAB" w14:paraId="4126E80A" w14:textId="77777777" w:rsidTr="004C7690">
        <w:tc>
          <w:tcPr>
            <w:tcW w:w="2074" w:type="dxa"/>
          </w:tcPr>
          <w:p w14:paraId="1FE3992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 xml:space="preserve">Date 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Revised:</w:t>
            </w:r>
          </w:p>
        </w:tc>
        <w:tc>
          <w:tcPr>
            <w:tcW w:w="2301" w:type="dxa"/>
          </w:tcPr>
          <w:p w14:paraId="7976C873" w14:textId="7996CD4E" w:rsidR="00F06BAB" w:rsidRPr="00F06BAB" w:rsidRDefault="001E02CB" w:rsidP="006C1E10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>03/4</w:t>
            </w:r>
            <w:r w:rsidR="00C92345" w:rsidRPr="00C92345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>/2023</w:t>
            </w:r>
          </w:p>
        </w:tc>
        <w:tc>
          <w:tcPr>
            <w:tcW w:w="2295" w:type="dxa"/>
          </w:tcPr>
          <w:p w14:paraId="5CF4E3D4" w14:textId="77777777" w:rsidR="00F06BAB" w:rsidRPr="00C53FF7" w:rsidRDefault="00F06BAB" w:rsidP="006C1E10">
            <w:pPr>
              <w:spacing w:after="15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Revision No</w:t>
            </w:r>
            <w:r w:rsidRPr="00FD6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2686" w:type="dxa"/>
          </w:tcPr>
          <w:p w14:paraId="39D52631" w14:textId="5CDF861E" w:rsidR="00F06BAB" w:rsidRPr="00F06BAB" w:rsidRDefault="00357824" w:rsidP="001E02CB">
            <w:pPr>
              <w:spacing w:after="150"/>
              <w:rPr>
                <w:rFonts w:ascii="Arial" w:eastAsia="Times New Roman" w:hAnsi="Arial" w:cs="Arial"/>
                <w:kern w:val="36"/>
                <w:sz w:val="28"/>
                <w:szCs w:val="28"/>
                <w:lang w:eastAsia="en-GB"/>
              </w:rPr>
            </w:pPr>
            <w:r w:rsidRPr="00C92345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 xml:space="preserve">Rev </w:t>
            </w:r>
            <w:r w:rsidR="001E02CB">
              <w:rPr>
                <w:rFonts w:ascii="Arial" w:eastAsia="Times New Roman" w:hAnsi="Arial" w:cs="Arial"/>
                <w:color w:val="0070C0"/>
                <w:kern w:val="36"/>
                <w:sz w:val="20"/>
                <w:szCs w:val="20"/>
                <w:lang w:eastAsia="en-GB"/>
              </w:rPr>
              <w:t>4</w:t>
            </w:r>
          </w:p>
        </w:tc>
      </w:tr>
    </w:tbl>
    <w:tbl>
      <w:tblPr>
        <w:tblStyle w:val="Grilledutableau"/>
        <w:tblW w:w="9351" w:type="dxa"/>
        <w:tblInd w:w="-289" w:type="dxa"/>
        <w:tblLook w:val="04A0" w:firstRow="1" w:lastRow="0" w:firstColumn="1" w:lastColumn="0" w:noHBand="0" w:noVBand="1"/>
      </w:tblPr>
      <w:tblGrid>
        <w:gridCol w:w="9351"/>
      </w:tblGrid>
      <w:tr w:rsidR="00C53FF7" w14:paraId="06E70D16" w14:textId="77777777" w:rsidTr="004225BF">
        <w:tc>
          <w:tcPr>
            <w:tcW w:w="9351" w:type="dxa"/>
          </w:tcPr>
          <w:p w14:paraId="0CA090FE" w14:textId="77777777" w:rsidR="00C53FF7" w:rsidRPr="00C53FF7" w:rsidRDefault="00C53FF7" w:rsidP="00EA0EB5">
            <w:pPr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53FF7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Contents</w:t>
            </w:r>
          </w:p>
        </w:tc>
      </w:tr>
      <w:tr w:rsidR="00C53FF7" w14:paraId="25F854EB" w14:textId="77777777" w:rsidTr="004225BF">
        <w:tc>
          <w:tcPr>
            <w:tcW w:w="9351" w:type="dxa"/>
          </w:tcPr>
          <w:p w14:paraId="68EDA9EE" w14:textId="77777777" w:rsidR="00C53FF7" w:rsidRPr="000C5E86" w:rsidRDefault="00C53FF7" w:rsidP="00EA0EB5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C5E8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This </w:t>
            </w:r>
            <w:r w:rsidR="00FD6EB5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document</w:t>
            </w:r>
            <w:r w:rsidRPr="000C5E86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provides you with information about:</w:t>
            </w:r>
          </w:p>
          <w:p w14:paraId="009CFE5C" w14:textId="454F9F28" w:rsidR="00C53FF7" w:rsidRDefault="00520EF9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Purpose</w:t>
            </w:r>
          </w:p>
          <w:p w14:paraId="21D6BC4E" w14:textId="77777777" w:rsidR="005F74B2" w:rsidRDefault="0004128F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Objectives</w:t>
            </w:r>
          </w:p>
          <w:p w14:paraId="4602CE9C" w14:textId="77777777" w:rsidR="005F74B2" w:rsidRDefault="0004128F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Criteria and Candidates</w:t>
            </w:r>
          </w:p>
          <w:p w14:paraId="74BD0694" w14:textId="27920DFD" w:rsidR="005F74B2" w:rsidRDefault="00520EF9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Award Schedule</w:t>
            </w:r>
            <w:r w:rsid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and Deadlines</w:t>
            </w:r>
          </w:p>
          <w:p w14:paraId="0310C59A" w14:textId="357967A2" w:rsidR="00130649" w:rsidRDefault="00130649" w:rsidP="00130649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Documents to be submitted by Applicants</w:t>
            </w:r>
          </w:p>
          <w:p w14:paraId="0D897EA9" w14:textId="6583E45C" w:rsidR="00130649" w:rsidRDefault="00130649" w:rsidP="00130649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Prize</w:t>
            </w:r>
          </w:p>
          <w:p w14:paraId="54E1983D" w14:textId="7BB8BC72" w:rsidR="005F74B2" w:rsidRPr="00C067AF" w:rsidRDefault="0004128F" w:rsidP="00C067AF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 Global Awards Committee</w:t>
            </w:r>
          </w:p>
          <w:p w14:paraId="430135C3" w14:textId="0D95AAC0" w:rsidR="0004128F" w:rsidRDefault="0004128F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Terms and Conditions</w:t>
            </w:r>
          </w:p>
          <w:p w14:paraId="41C4498A" w14:textId="4526CA48" w:rsidR="00EA0EB5" w:rsidRDefault="00EA0EB5" w:rsidP="00EA0EB5">
            <w:pPr>
              <w:pStyle w:val="Paragraphedeliste"/>
              <w:numPr>
                <w:ilvl w:val="0"/>
                <w:numId w:val="3"/>
              </w:numPr>
              <w:shd w:val="clear" w:color="auto" w:fill="FFFFFF"/>
              <w:spacing w:before="240"/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Application Submission</w:t>
            </w:r>
          </w:p>
          <w:p w14:paraId="17B8C207" w14:textId="76F89E07" w:rsidR="00595486" w:rsidRPr="002D2318" w:rsidRDefault="00595486" w:rsidP="002D2318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ab/>
            </w:r>
          </w:p>
        </w:tc>
      </w:tr>
      <w:tr w:rsidR="00C53FF7" w14:paraId="70094A8C" w14:textId="77777777" w:rsidTr="004225BF">
        <w:tc>
          <w:tcPr>
            <w:tcW w:w="9351" w:type="dxa"/>
          </w:tcPr>
          <w:p w14:paraId="42DE950F" w14:textId="5B938180" w:rsidR="00C53FF7" w:rsidRPr="0004128F" w:rsidRDefault="00520EF9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Purpose</w:t>
            </w:r>
          </w:p>
        </w:tc>
      </w:tr>
      <w:tr w:rsidR="00C53FF7" w14:paraId="0601B554" w14:textId="77777777" w:rsidTr="004225BF">
        <w:tc>
          <w:tcPr>
            <w:tcW w:w="9351" w:type="dxa"/>
          </w:tcPr>
          <w:p w14:paraId="2F7DBE7E" w14:textId="3BCF1A42" w:rsidR="002D2318" w:rsidRPr="00520EF9" w:rsidRDefault="00520EF9" w:rsidP="002D2318">
            <w:pPr>
              <w:pStyle w:val="Retraitcorpsdetexte"/>
              <w:spacing w:after="0"/>
              <w:ind w:left="0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The purpose of the WiN </w:t>
            </w:r>
            <w:r w:rsidR="00F51060">
              <w:rPr>
                <w:rFonts w:ascii="Arial" w:hAnsi="Arial"/>
                <w:bCs/>
              </w:rPr>
              <w:t xml:space="preserve">Global </w:t>
            </w:r>
            <w:r w:rsidR="00ED67D0">
              <w:rPr>
                <w:rFonts w:ascii="Arial" w:hAnsi="Arial"/>
                <w:bCs/>
              </w:rPr>
              <w:t xml:space="preserve">Honorary </w:t>
            </w:r>
            <w:r>
              <w:rPr>
                <w:rFonts w:ascii="Arial" w:hAnsi="Arial"/>
                <w:bCs/>
              </w:rPr>
              <w:t xml:space="preserve">Award is </w:t>
            </w:r>
            <w:r w:rsidR="00DB1152">
              <w:rPr>
                <w:rFonts w:ascii="Arial" w:hAnsi="Arial"/>
                <w:bCs/>
              </w:rPr>
              <w:t>t</w:t>
            </w:r>
            <w:r w:rsidR="00DB1152" w:rsidRPr="005576DB">
              <w:rPr>
                <w:rFonts w:ascii="Arial" w:hAnsi="Arial"/>
                <w:bCs/>
                <w:lang w:val="en-GB"/>
              </w:rPr>
              <w:t>o hono</w:t>
            </w:r>
            <w:r w:rsidR="00DB1152">
              <w:rPr>
                <w:rFonts w:ascii="Arial" w:hAnsi="Arial"/>
                <w:bCs/>
                <w:lang w:val="en-GB"/>
              </w:rPr>
              <w:t>u</w:t>
            </w:r>
            <w:r w:rsidR="00DB1152" w:rsidRPr="005576DB">
              <w:rPr>
                <w:rFonts w:ascii="Arial" w:hAnsi="Arial"/>
                <w:bCs/>
                <w:lang w:val="en-GB"/>
              </w:rPr>
              <w:t xml:space="preserve">r a person </w:t>
            </w:r>
            <w:r w:rsidR="00233D97">
              <w:rPr>
                <w:rFonts w:ascii="Arial" w:hAnsi="Arial"/>
                <w:bCs/>
                <w:lang w:val="en-GB"/>
              </w:rPr>
              <w:t xml:space="preserve">or organisation </w:t>
            </w:r>
            <w:r w:rsidR="00357824" w:rsidRPr="00E7301D">
              <w:rPr>
                <w:rFonts w:ascii="Arial" w:hAnsi="Arial"/>
                <w:bCs/>
                <w:lang w:val="en-GB"/>
              </w:rPr>
              <w:t xml:space="preserve">who has demonstrated outstanding </w:t>
            </w:r>
            <w:r w:rsidR="00DB1152" w:rsidRPr="00E7301D">
              <w:rPr>
                <w:rFonts w:ascii="Arial" w:hAnsi="Arial"/>
                <w:bCs/>
                <w:lang w:val="en-GB"/>
              </w:rPr>
              <w:t>dedicat</w:t>
            </w:r>
            <w:r w:rsidR="00357824" w:rsidRPr="00E7301D">
              <w:rPr>
                <w:rFonts w:ascii="Arial" w:hAnsi="Arial"/>
                <w:bCs/>
                <w:lang w:val="en-GB"/>
              </w:rPr>
              <w:t>ion</w:t>
            </w:r>
            <w:r w:rsidR="00DB1152" w:rsidRPr="00E7301D">
              <w:rPr>
                <w:rFonts w:ascii="Arial" w:hAnsi="Arial"/>
                <w:bCs/>
                <w:lang w:val="en-GB"/>
              </w:rPr>
              <w:t xml:space="preserve"> to WiN Global development or other remarkable contributions.</w:t>
            </w:r>
          </w:p>
        </w:tc>
      </w:tr>
      <w:tr w:rsidR="00C53FF7" w14:paraId="392DA413" w14:textId="77777777" w:rsidTr="004225BF">
        <w:tc>
          <w:tcPr>
            <w:tcW w:w="9351" w:type="dxa"/>
          </w:tcPr>
          <w:p w14:paraId="0A960AEC" w14:textId="77777777" w:rsidR="00C53FF7" w:rsidRPr="0004128F" w:rsidRDefault="0004128F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Objectives</w:t>
            </w:r>
          </w:p>
        </w:tc>
      </w:tr>
      <w:tr w:rsidR="00C53FF7" w14:paraId="6793C951" w14:textId="77777777" w:rsidTr="004225BF">
        <w:tc>
          <w:tcPr>
            <w:tcW w:w="9351" w:type="dxa"/>
          </w:tcPr>
          <w:p w14:paraId="67E1055F" w14:textId="511FDCAF" w:rsidR="00E727D7" w:rsidRDefault="00E727D7" w:rsidP="002D2318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To recognise and reward </w:t>
            </w:r>
            <w:r w:rsidR="00A743A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extraordinary work of individual professionals</w:t>
            </w:r>
            <w:r w:rsidR="00233D9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or organisations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in </w:t>
            </w:r>
            <w:r w:rsidR="00DB115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supporting and advancing the WiN Global organisation.</w:t>
            </w:r>
          </w:p>
          <w:p w14:paraId="4049BAE5" w14:textId="5F60490F" w:rsidR="00C53FF7" w:rsidRPr="00380556" w:rsidRDefault="00E727D7" w:rsidP="00380556">
            <w:pPr>
              <w:pStyle w:val="Paragraphedeliste"/>
              <w:numPr>
                <w:ilvl w:val="0"/>
                <w:numId w:val="7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To increase the </w:t>
            </w:r>
            <w:r w:rsidRPr="008B4B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visibility </w:t>
            </w:r>
            <w:r w:rsidR="002D2318" w:rsidRPr="008B4B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and support </w:t>
            </w:r>
            <w:r w:rsidRPr="008B4B2C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of WiN Global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and its vision, mission and objectives</w:t>
            </w:r>
          </w:p>
        </w:tc>
      </w:tr>
      <w:tr w:rsidR="00C53FF7" w14:paraId="1176B63A" w14:textId="77777777" w:rsidTr="004225BF">
        <w:tc>
          <w:tcPr>
            <w:tcW w:w="9351" w:type="dxa"/>
          </w:tcPr>
          <w:p w14:paraId="2B9F185F" w14:textId="77777777" w:rsidR="00C53FF7" w:rsidRPr="0004128F" w:rsidRDefault="0004128F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Criteria and Candidates</w:t>
            </w:r>
          </w:p>
        </w:tc>
      </w:tr>
      <w:tr w:rsidR="00C53FF7" w14:paraId="414A175C" w14:textId="77777777" w:rsidTr="004225BF">
        <w:tc>
          <w:tcPr>
            <w:tcW w:w="9351" w:type="dxa"/>
          </w:tcPr>
          <w:p w14:paraId="63829E60" w14:textId="490A8289" w:rsidR="0062259F" w:rsidRDefault="00DB1152" w:rsidP="0062259F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bookmarkStart w:id="0" w:name="_Hlk103091164"/>
            <w:r w:rsidRPr="005576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The award is open</w:t>
            </w:r>
            <w:r w:rsidRPr="005576D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62259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to any individual or organisation. It is not necessarily an annual award. </w:t>
            </w:r>
          </w:p>
          <w:p w14:paraId="51AAED0E" w14:textId="25550BDA" w:rsidR="00630DFD" w:rsidRDefault="00630DFD" w:rsidP="00DB1152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5B390F46" w14:textId="76CE5E14" w:rsidR="00B84490" w:rsidRDefault="00630DFD" w:rsidP="00B84490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30DF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The award is an internal award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in as </w:t>
            </w:r>
            <w:r w:rsidR="0062259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uch as nominees are sought from members of the WiN Global Executive and Board.</w:t>
            </w:r>
            <w:r w:rsidR="00B844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Hence requests for nominees will not be advertised on the WiN Global website</w:t>
            </w:r>
            <w:r w:rsidR="006B6177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or publicly</w:t>
            </w:r>
            <w:r w:rsidR="00B84490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 However the successful recipient of the award will be announced on the WiN Global website (and other media platforms).</w:t>
            </w:r>
          </w:p>
          <w:bookmarkEnd w:id="0"/>
          <w:p w14:paraId="20FE6257" w14:textId="370BD5E2" w:rsidR="00DB1152" w:rsidRPr="005576DB" w:rsidRDefault="00DB1152" w:rsidP="00DB1152">
            <w:pP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  <w:p w14:paraId="24E6B212" w14:textId="5AA44242" w:rsidR="00380556" w:rsidRPr="00380556" w:rsidRDefault="00BC372F" w:rsidP="00380556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WiN Global</w:t>
            </w:r>
            <w:r w:rsidR="00DB1152" w:rsidRPr="005576D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 members and non-members</w:t>
            </w:r>
            <w:r w:rsidR="00DB1152" w:rsidRPr="005576D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who meet the above criteria are eligible to </w:t>
            </w:r>
            <w:r w:rsidR="00DB1152" w:rsidRPr="005576DB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lastRenderedPageBreak/>
              <w:t xml:space="preserve">be nominated. </w:t>
            </w:r>
            <w:r w:rsidR="00DB1152" w:rsidRPr="0031407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President, Executive and Board members are not eligible for nomination until they have completed their terms of service.</w:t>
            </w:r>
            <w:r w:rsidR="00380556" w:rsidRPr="00380556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C53FF7" w:rsidRPr="004C7690" w14:paraId="04BE9D4E" w14:textId="77777777" w:rsidTr="004225BF">
        <w:tc>
          <w:tcPr>
            <w:tcW w:w="9351" w:type="dxa"/>
          </w:tcPr>
          <w:p w14:paraId="526EEE73" w14:textId="3A48BC7F" w:rsidR="00C53FF7" w:rsidRPr="004C7690" w:rsidRDefault="00520EF9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lastRenderedPageBreak/>
              <w:t>Award Schedule</w:t>
            </w:r>
            <w:r w:rsidR="00C53FF7" w:rsidRPr="004C7690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 </w:t>
            </w:r>
            <w:r w:rsidR="00C067A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and Deadlines</w:t>
            </w:r>
          </w:p>
        </w:tc>
      </w:tr>
      <w:tr w:rsidR="00C53FF7" w:rsidRPr="00F06BAB" w14:paraId="71F4EC32" w14:textId="77777777" w:rsidTr="004225BF">
        <w:tc>
          <w:tcPr>
            <w:tcW w:w="9351" w:type="dxa"/>
          </w:tcPr>
          <w:p w14:paraId="2FDFD030" w14:textId="6670C5FC" w:rsidR="00380556" w:rsidRDefault="00C067AF" w:rsidP="00380556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3F4C8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The following schedule aligns with the confirmed date of the WiN Global Annual Conference (which is subject to variation depending on the hosting country) and the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conference </w:t>
            </w:r>
            <w:r w:rsidRPr="003F4C8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date will be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confirmed to all WiN Global Executive and Board members</w:t>
            </w:r>
          </w:p>
          <w:p w14:paraId="583D1706" w14:textId="77777777" w:rsidR="00380556" w:rsidRPr="00380556" w:rsidRDefault="00380556" w:rsidP="00520EF9">
            <w:pPr>
              <w:spacing w:after="150"/>
              <w:rPr>
                <w:rFonts w:ascii="Arial" w:eastAsia="Times New Roman" w:hAnsi="Arial" w:cs="Arial"/>
                <w:b/>
                <w:bCs/>
                <w:color w:val="333333"/>
                <w:sz w:val="12"/>
                <w:szCs w:val="12"/>
                <w:lang w:val="en-US" w:eastAsia="en-GB"/>
              </w:rPr>
            </w:pPr>
          </w:p>
          <w:p w14:paraId="0396CB89" w14:textId="3A389EA0" w:rsidR="00520EF9" w:rsidRPr="00E750F1" w:rsidRDefault="00520EF9" w:rsidP="00520EF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E750F1">
              <w:rPr>
                <w:rFonts w:ascii="Arial" w:eastAsia="Times New Roman" w:hAnsi="Arial" w:cs="Arial" w:hint="eastAsia"/>
                <w:b/>
                <w:bCs/>
                <w:color w:val="333333"/>
                <w:sz w:val="24"/>
                <w:szCs w:val="24"/>
                <w:lang w:val="en-US" w:eastAsia="en-GB"/>
              </w:rPr>
              <w:t>6 months prior</w:t>
            </w:r>
            <w:r w:rsidRPr="00E750F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: </w:t>
            </w:r>
            <w:r w:rsidR="006F0E2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WiN Global Awards Committee Chair </w:t>
            </w: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will emai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l</w:t>
            </w: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all</w:t>
            </w: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members of the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WiN Global Executive and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B</w:t>
            </w: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o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ard</w:t>
            </w: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announcing the schedule for the annual </w:t>
            </w:r>
            <w:r w:rsidR="00BC372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WiN Global</w:t>
            </w: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r w:rsidR="00DB1152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Honorary </w:t>
            </w: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Award and asking 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for nominees for the award.</w:t>
            </w:r>
          </w:p>
          <w:p w14:paraId="3D57108A" w14:textId="0BB7D209" w:rsidR="00AD0E3E" w:rsidRDefault="00433904" w:rsidP="00520EF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Details of the award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(this document and application form)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will be emailed</w:t>
            </w:r>
            <w:r w:rsidR="00D21F7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(where an email address has been provided)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to </w:t>
            </w:r>
            <w:r w:rsidR="00520EF9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all WiN Global 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Executive and Board 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members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for their information and use</w:t>
            </w:r>
            <w:r w:rsidR="00D21F7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in submitting nominations.</w:t>
            </w:r>
            <w:r w:rsidR="00AD0E3E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It will also be made available via the WiN Global website </w:t>
            </w:r>
            <w:hyperlink r:id="rId9" w:history="1">
              <w:r w:rsidR="00AD0E3E" w:rsidRPr="00801FF3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val="en-US" w:eastAsia="en-GB"/>
                </w:rPr>
                <w:t>https://win-global.org/awards/honorary</w:t>
              </w:r>
            </w:hyperlink>
          </w:p>
          <w:p w14:paraId="7E51BE83" w14:textId="73D51286" w:rsidR="00520EF9" w:rsidRPr="00E750F1" w:rsidRDefault="00AD0E3E" w:rsidP="00520EF9">
            <w:pPr>
              <w:spacing w:after="15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r w:rsidR="00C154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4</w:t>
            </w:r>
            <w:r w:rsidR="00520EF9" w:rsidRPr="00E750F1">
              <w:rPr>
                <w:rFonts w:ascii="Arial" w:eastAsia="Times New Roman" w:hAnsi="Arial" w:cs="Arial" w:hint="eastAsia"/>
                <w:b/>
                <w:bCs/>
                <w:color w:val="333333"/>
                <w:sz w:val="24"/>
                <w:szCs w:val="24"/>
                <w:lang w:val="en-US" w:eastAsia="en-GB"/>
              </w:rPr>
              <w:t xml:space="preserve"> months prior</w:t>
            </w:r>
            <w:r w:rsidR="00520EF9" w:rsidRPr="00E750F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: </w:t>
            </w:r>
            <w:r w:rsidR="00104538"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D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eadline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for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all submissions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to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be received by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the</w:t>
            </w:r>
            <w:r w:rsidR="00FC0EE3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r w:rsidR="006F0E2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WiN Global Awards Committee Chair. 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</w:t>
            </w:r>
            <w:r w:rsidR="006F0E2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WiN Global Awards Committee Chair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will announce the list of 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all nominees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for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the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WiN 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Global Honorary 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Award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to the WiN Global Executive and Board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.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They wil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l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be requested to review the 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submissions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in order</w:t>
            </w:r>
            <w:r w:rsidR="00484582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to</w:t>
            </w:r>
            <w:r w:rsidR="00DC448C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 decide their preference of 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nominee in preparation for a vote.</w:t>
            </w:r>
          </w:p>
          <w:p w14:paraId="512C32F0" w14:textId="420D8E72" w:rsidR="00DC448C" w:rsidRPr="00DC448C" w:rsidRDefault="00DC448C" w:rsidP="00520EF9">
            <w:pPr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3</w:t>
            </w:r>
            <w:r w:rsidR="00520EF9" w:rsidRPr="00E750F1">
              <w:rPr>
                <w:rFonts w:ascii="Arial" w:eastAsia="Times New Roman" w:hAnsi="Arial" w:cs="Arial" w:hint="eastAsia"/>
                <w:b/>
                <w:bCs/>
                <w:color w:val="333333"/>
                <w:sz w:val="24"/>
                <w:szCs w:val="24"/>
                <w:lang w:val="en-US" w:eastAsia="en-GB"/>
              </w:rPr>
              <w:t xml:space="preserve"> month</w:t>
            </w:r>
            <w:r w:rsidR="00C154C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s</w:t>
            </w:r>
            <w:r w:rsidR="00520EF9" w:rsidRPr="00E750F1">
              <w:rPr>
                <w:rFonts w:ascii="Arial" w:eastAsia="Times New Roman" w:hAnsi="Arial" w:cs="Arial" w:hint="eastAsia"/>
                <w:b/>
                <w:bCs/>
                <w:color w:val="333333"/>
                <w:sz w:val="24"/>
                <w:szCs w:val="24"/>
                <w:lang w:val="en-US" w:eastAsia="en-GB"/>
              </w:rPr>
              <w:t xml:space="preserve"> prior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: Board and </w:t>
            </w:r>
            <w:r w:rsidR="00FC0EE3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E</w:t>
            </w:r>
            <w:r w:rsidR="00520EF9"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xecutive members will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vote for their preferred nominee. The votes will be counted and the successful nominee selected. In the event of an inconclusive vote, 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he WiN Global Steering Committee will make the final decision and provide the rationale </w:t>
            </w:r>
            <w:r w:rsidR="0043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for this decision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to the Executive and the Board. </w:t>
            </w:r>
          </w:p>
          <w:p w14:paraId="6A8ED483" w14:textId="77777777" w:rsidR="00DC448C" w:rsidRDefault="00DC448C" w:rsidP="00520EF9">
            <w:pPr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2</w:t>
            </w:r>
            <w:r w:rsidRPr="00E750F1">
              <w:rPr>
                <w:rFonts w:ascii="Arial" w:eastAsia="Times New Roman" w:hAnsi="Arial" w:cs="Arial" w:hint="eastAsia"/>
                <w:b/>
                <w:bCs/>
                <w:color w:val="333333"/>
                <w:sz w:val="24"/>
                <w:szCs w:val="24"/>
                <w:lang w:val="en-US" w:eastAsia="en-GB"/>
              </w:rPr>
              <w:t xml:space="preserve"> month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 w:eastAsia="en-GB"/>
              </w:rPr>
              <w:t>s</w:t>
            </w:r>
            <w:r w:rsidRPr="00E750F1">
              <w:rPr>
                <w:rFonts w:ascii="Arial" w:eastAsia="Times New Roman" w:hAnsi="Arial" w:cs="Arial" w:hint="eastAsia"/>
                <w:b/>
                <w:bCs/>
                <w:color w:val="333333"/>
                <w:sz w:val="24"/>
                <w:szCs w:val="24"/>
                <w:lang w:val="en-US" w:eastAsia="en-GB"/>
              </w:rPr>
              <w:t xml:space="preserve"> prior</w:t>
            </w: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: </w:t>
            </w:r>
            <w:r w:rsidR="006F0E2F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WiN Global Awards Committee Chair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will notify the successful candidate</w:t>
            </w:r>
            <w:r w:rsidRPr="00E750F1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.</w:t>
            </w:r>
          </w:p>
          <w:p w14:paraId="591767C6" w14:textId="0A5348A6" w:rsidR="00380556" w:rsidRPr="00380556" w:rsidRDefault="00380556" w:rsidP="00380556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</w:p>
        </w:tc>
      </w:tr>
      <w:tr w:rsidR="004225BF" w14:paraId="72DDC239" w14:textId="77777777" w:rsidTr="004225BF">
        <w:tc>
          <w:tcPr>
            <w:tcW w:w="9351" w:type="dxa"/>
          </w:tcPr>
          <w:p w14:paraId="48655795" w14:textId="77777777" w:rsidR="004225BF" w:rsidRPr="0004128F" w:rsidRDefault="004225BF" w:rsidP="003A11B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Documents to be submitted by Applicants</w:t>
            </w:r>
          </w:p>
        </w:tc>
      </w:tr>
      <w:tr w:rsidR="004225BF" w14:paraId="29B571F5" w14:textId="77777777" w:rsidTr="004225BF">
        <w:tc>
          <w:tcPr>
            <w:tcW w:w="9351" w:type="dxa"/>
          </w:tcPr>
          <w:p w14:paraId="2750428E" w14:textId="5992EE7B" w:rsidR="00380556" w:rsidRPr="003568EF" w:rsidRDefault="003568EF" w:rsidP="00380556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568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WiN Global Ho</w:t>
            </w:r>
            <w:r w:rsidR="007E0B5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no</w:t>
            </w:r>
            <w:r w:rsidRPr="003568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r</w:t>
            </w:r>
            <w:r w:rsidR="007E0B5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ar</w:t>
            </w:r>
            <w:r w:rsidRPr="003568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y </w:t>
            </w:r>
            <w:r w:rsidR="00380556" w:rsidRPr="003568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Application Form </w:t>
            </w:r>
            <w:r w:rsidR="0071389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(PRO0010 Application Form WiN Global Honorary Award)  </w:t>
            </w:r>
          </w:p>
          <w:p w14:paraId="7517B631" w14:textId="78DBE795" w:rsidR="004225BF" w:rsidRPr="00C154C9" w:rsidRDefault="004225BF" w:rsidP="003568EF">
            <w:pPr>
              <w:pStyle w:val="Paragraphedeliste"/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4225BF" w14:paraId="1829670B" w14:textId="77777777" w:rsidTr="004225BF">
        <w:tc>
          <w:tcPr>
            <w:tcW w:w="9351" w:type="dxa"/>
          </w:tcPr>
          <w:p w14:paraId="711044B9" w14:textId="74D3DD17" w:rsidR="004225BF" w:rsidRPr="0004128F" w:rsidRDefault="007E0B5D" w:rsidP="003A11B4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Priz</w:t>
            </w:r>
            <w:r w:rsidR="00713898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e</w:t>
            </w:r>
          </w:p>
        </w:tc>
      </w:tr>
      <w:tr w:rsidR="004225BF" w14:paraId="11FCFE8A" w14:textId="77777777" w:rsidTr="004225BF">
        <w:tc>
          <w:tcPr>
            <w:tcW w:w="9351" w:type="dxa"/>
          </w:tcPr>
          <w:p w14:paraId="0762D1F6" w14:textId="0E91F35B" w:rsidR="004225BF" w:rsidRPr="00C067AF" w:rsidRDefault="00A122EB" w:rsidP="003A11B4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35782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successful candidate</w:t>
            </w:r>
            <w:r w:rsidR="00606D9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or organisation</w:t>
            </w:r>
            <w:r w:rsidRPr="0035782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will be offered </w:t>
            </w:r>
            <w:r w:rsidR="00606D9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ONE </w:t>
            </w:r>
            <w:r w:rsidRPr="0035782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free registration </w:t>
            </w:r>
            <w:r w:rsidR="00606D9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place at </w:t>
            </w:r>
            <w:r w:rsidRPr="0035782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 WiN Global Conference and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4225BF"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receive a framed certificate acknowledging them as the recipient of the WiN Global </w:t>
            </w:r>
            <w:r w:rsidR="000A0A0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Honorary </w:t>
            </w:r>
            <w:r w:rsidR="004225BF"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Award.</w:t>
            </w:r>
          </w:p>
          <w:p w14:paraId="751D9059" w14:textId="77777777" w:rsidR="004225BF" w:rsidRPr="00C067AF" w:rsidRDefault="004225BF" w:rsidP="003A11B4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This will be presented at the WiN Global Annual Conference (where possible)</w:t>
            </w:r>
          </w:p>
          <w:p w14:paraId="0A379933" w14:textId="77777777" w:rsidR="004225BF" w:rsidRPr="00C067AF" w:rsidRDefault="004225BF" w:rsidP="003A11B4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The winner of the Award will also be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recognised</w:t>
            </w:r>
            <w:r w:rsidRPr="00C067A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in all WIN Global publications and communications (including on social media).</w:t>
            </w:r>
          </w:p>
        </w:tc>
      </w:tr>
      <w:tr w:rsidR="00C53FF7" w14:paraId="5A1ACD4B" w14:textId="77777777" w:rsidTr="004225BF">
        <w:tc>
          <w:tcPr>
            <w:tcW w:w="9351" w:type="dxa"/>
          </w:tcPr>
          <w:p w14:paraId="5C162F20" w14:textId="77777777" w:rsidR="00C53FF7" w:rsidRPr="0004128F" w:rsidRDefault="0004128F" w:rsidP="00EA0EB5">
            <w:pPr>
              <w:pStyle w:val="Paragraphedeliste"/>
              <w:numPr>
                <w:ilvl w:val="0"/>
                <w:numId w:val="2"/>
              </w:numPr>
              <w:spacing w:before="240"/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</w:pPr>
            <w:r w:rsidRP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lastRenderedPageBreak/>
              <w:t>WiN Global Awards Committee</w:t>
            </w:r>
          </w:p>
        </w:tc>
      </w:tr>
      <w:tr w:rsidR="00C53FF7" w14:paraId="2BC3E64C" w14:textId="77777777" w:rsidTr="004225BF">
        <w:tc>
          <w:tcPr>
            <w:tcW w:w="9351" w:type="dxa"/>
          </w:tcPr>
          <w:p w14:paraId="033F3AEA" w14:textId="717BD290" w:rsidR="00621DA5" w:rsidRPr="00104538" w:rsidRDefault="00A50E3E" w:rsidP="00621DA5">
            <w:p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WiN Global has a dedicated Awards Committee who </w:t>
            </w:r>
            <w:proofErr w:type="gramStart"/>
            <w:r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are</w:t>
            </w:r>
            <w:proofErr w:type="gramEnd"/>
            <w:r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responsible for managing and co-ordinating applica</w:t>
            </w:r>
            <w:r w:rsidR="00914F8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tions</w:t>
            </w:r>
            <w:r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for </w:t>
            </w:r>
            <w:r w:rsidR="004C7690"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all</w:t>
            </w:r>
            <w:r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WiN Global Awards, including this award.</w:t>
            </w:r>
            <w:r w:rsidR="00914F81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The committee comprises a Chair and a </w:t>
            </w:r>
            <w:r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minimum of three WIN Global Executives</w:t>
            </w:r>
            <w:r w:rsidR="00A012B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or Board Members</w:t>
            </w:r>
            <w:r w:rsidR="00190C6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(or their nominees)</w:t>
            </w:r>
            <w:r w:rsidR="00BE7E6D"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  <w:r w:rsidR="00FC0EE3" w:rsidRPr="00104538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The successful applicant for this award will be decided by Executive and Board member vote.</w:t>
            </w:r>
          </w:p>
        </w:tc>
      </w:tr>
      <w:tr w:rsidR="00C53FF7" w14:paraId="7E90A338" w14:textId="77777777" w:rsidTr="004225BF">
        <w:tc>
          <w:tcPr>
            <w:tcW w:w="9351" w:type="dxa"/>
          </w:tcPr>
          <w:p w14:paraId="79A308AC" w14:textId="77777777" w:rsidR="00C53FF7" w:rsidRPr="00C53FF7" w:rsidRDefault="00C53FF7" w:rsidP="00EA0EB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53FF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 </w:t>
            </w:r>
            <w:r w:rsidR="0004128F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Terms and Conditions</w:t>
            </w:r>
          </w:p>
        </w:tc>
      </w:tr>
      <w:tr w:rsidR="00C53FF7" w14:paraId="1F5C7CDB" w14:textId="77777777" w:rsidTr="004225BF">
        <w:tc>
          <w:tcPr>
            <w:tcW w:w="9351" w:type="dxa"/>
          </w:tcPr>
          <w:p w14:paraId="33925228" w14:textId="322B8D30" w:rsidR="00C154C9" w:rsidRPr="00C154C9" w:rsidRDefault="00BE7E6D" w:rsidP="002F7EC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The</w:t>
            </w:r>
            <w:r w:rsidR="00C154C9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E1115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award </w:t>
            </w:r>
            <w:r w:rsidR="00C154C9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winner may </w:t>
            </w:r>
            <w:r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not </w:t>
            </w:r>
            <w:r w:rsidR="00FC0EE3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be nominated</w:t>
            </w:r>
            <w:r w:rsidR="00C154C9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again in the future.</w:t>
            </w:r>
          </w:p>
          <w:p w14:paraId="63A61B9B" w14:textId="5BB92ADF" w:rsidR="00BE7E6D" w:rsidRDefault="00C154C9" w:rsidP="002F7EC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Appli</w:t>
            </w:r>
            <w:r w:rsidR="00BE7E6D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cants not selected may re-apply for this award in the future.</w:t>
            </w:r>
          </w:p>
          <w:p w14:paraId="69AE99BB" w14:textId="543DAAE4" w:rsidR="0068729D" w:rsidRPr="00603C2E" w:rsidRDefault="0068729D" w:rsidP="002F7ECB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603C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Nominees</w:t>
            </w:r>
            <w:r w:rsidR="00606D92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/Organisations</w:t>
            </w:r>
            <w:r w:rsidRPr="00603C2E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may self-nominate or be nominated by a third party. In the case of the latter, the nominator must seek permission from the nominee to ensure they agree to the nomination.</w:t>
            </w:r>
          </w:p>
          <w:p w14:paraId="2071230C" w14:textId="703E98C0" w:rsidR="00C154C9" w:rsidRDefault="00BE7E6D" w:rsidP="003F71E2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Winners must be willing and able to attend the upcoming WiN Global conference and the award ceremony</w:t>
            </w:r>
            <w:r w:rsidR="00422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where possible</w:t>
            </w:r>
            <w:r w:rsidR="00C154C9"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.</w:t>
            </w:r>
          </w:p>
          <w:p w14:paraId="577A0F39" w14:textId="2ACD48DD" w:rsidR="00BE7E6D" w:rsidRPr="00C154C9" w:rsidRDefault="00BE7E6D" w:rsidP="003F71E2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C154C9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Winners may be requested to be available for media and WiN Global outreach to share their experience about WiN Global and the award.</w:t>
            </w:r>
          </w:p>
          <w:p w14:paraId="00A6F047" w14:textId="046856C8" w:rsidR="00621DA5" w:rsidRPr="00621DA5" w:rsidRDefault="00BE7E6D" w:rsidP="00621DA5">
            <w:pPr>
              <w:pStyle w:val="Paragraphedeliste"/>
              <w:numPr>
                <w:ilvl w:val="0"/>
                <w:numId w:val="13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BE7E6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By submitting their applications, candidates accept the Terms and Conditions of this </w:t>
            </w:r>
            <w:r w:rsidR="00BC372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WiN Global</w:t>
            </w:r>
            <w:r w:rsidRPr="00BE7E6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</w:t>
            </w:r>
            <w:r w:rsidR="000A0A04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Honorary </w:t>
            </w:r>
            <w:r w:rsidRPr="00BE7E6D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Award.</w:t>
            </w:r>
          </w:p>
        </w:tc>
      </w:tr>
      <w:tr w:rsidR="00EA0EB5" w14:paraId="1D6172AC" w14:textId="77777777" w:rsidTr="004225BF">
        <w:tc>
          <w:tcPr>
            <w:tcW w:w="9351" w:type="dxa"/>
          </w:tcPr>
          <w:p w14:paraId="175E72A9" w14:textId="11AF5ECC" w:rsidR="00EA0EB5" w:rsidRPr="00BE7E6D" w:rsidRDefault="00EA0EB5" w:rsidP="00EA0EB5">
            <w:pPr>
              <w:pStyle w:val="Paragraphedeliste"/>
              <w:numPr>
                <w:ilvl w:val="0"/>
                <w:numId w:val="2"/>
              </w:numPr>
              <w:shd w:val="clear" w:color="auto" w:fill="FFFFFF"/>
              <w:spacing w:before="24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 w:rsidRPr="00EA0EB5">
              <w:rPr>
                <w:rFonts w:ascii="Arial" w:eastAsia="Times New Roman" w:hAnsi="Arial" w:cs="Arial"/>
                <w:color w:val="1E9DD8"/>
                <w:kern w:val="36"/>
                <w:sz w:val="28"/>
                <w:szCs w:val="28"/>
                <w:lang w:eastAsia="en-GB"/>
              </w:rPr>
              <w:t>Application Submission</w:t>
            </w:r>
          </w:p>
        </w:tc>
      </w:tr>
      <w:tr w:rsidR="00EA0EB5" w14:paraId="6CEB7B70" w14:textId="77777777" w:rsidTr="004225BF">
        <w:tc>
          <w:tcPr>
            <w:tcW w:w="9351" w:type="dxa"/>
          </w:tcPr>
          <w:p w14:paraId="539C8B92" w14:textId="749913E9" w:rsidR="00621DA5" w:rsidRDefault="00621DA5" w:rsidP="00621DA5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Please submit your application using the </w:t>
            </w:r>
            <w:r w:rsidR="007E0B5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WiN Global Hono</w:t>
            </w:r>
            <w:r w:rsidRPr="003568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r</w:t>
            </w:r>
            <w:r w:rsidR="007E0B5D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ar</w:t>
            </w:r>
            <w:r w:rsidRPr="003568E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y Award </w:t>
            </w:r>
            <w:r w:rsidRPr="00AD0E3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n-GB"/>
              </w:rPr>
              <w:t>Application Form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 xml:space="preserve"> to:</w:t>
            </w:r>
          </w:p>
          <w:p w14:paraId="59294A06" w14:textId="77777777" w:rsidR="004225BF" w:rsidRDefault="004225BF" w:rsidP="004225BF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19AC0319" w14:textId="06B0EE81" w:rsidR="004225BF" w:rsidRDefault="006F0E2F" w:rsidP="006F0E2F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WiN Global Awards Committee Chair </w:t>
            </w:r>
            <w:r w:rsidR="004225BF" w:rsidRPr="004225BF"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  <w:t>at:</w:t>
            </w:r>
          </w:p>
          <w:p w14:paraId="7DA1E256" w14:textId="77777777" w:rsidR="00C92345" w:rsidRDefault="00C92345" w:rsidP="006F0E2F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501A00B7" w14:textId="522482FC" w:rsidR="00AC0345" w:rsidRDefault="00C92345" w:rsidP="006F0E2F">
            <w:pPr>
              <w:pStyle w:val="Paragraphedeliste"/>
              <w:shd w:val="clear" w:color="auto" w:fill="FFFFFF"/>
              <w:spacing w:before="240"/>
              <w:ind w:left="360"/>
              <w:rPr>
                <w:rStyle w:val="Lienhypertexte"/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hyperlink r:id="rId10" w:history="1">
              <w:r w:rsidRPr="00C92345">
                <w:rPr>
                  <w:rStyle w:val="Lienhypertexte"/>
                  <w:rFonts w:ascii="Arial" w:eastAsia="Times New Roman" w:hAnsi="Arial" w:cs="Arial"/>
                  <w:sz w:val="24"/>
                  <w:szCs w:val="24"/>
                  <w:lang w:eastAsia="en-GB"/>
                </w:rPr>
                <w:t>awardscommitteechairwinglobal@gmail.com</w:t>
              </w:r>
            </w:hyperlink>
          </w:p>
          <w:p w14:paraId="77ABEDF4" w14:textId="77777777" w:rsidR="00C92345" w:rsidRPr="00C92345" w:rsidRDefault="00C92345" w:rsidP="006F0E2F">
            <w:pPr>
              <w:pStyle w:val="Paragraphedeliste"/>
              <w:shd w:val="clear" w:color="auto" w:fill="FFFFFF"/>
              <w:spacing w:before="240"/>
              <w:ind w:left="360"/>
              <w:rPr>
                <w:rStyle w:val="Lienhypertexte"/>
              </w:rPr>
            </w:pPr>
          </w:p>
          <w:p w14:paraId="7660BD48" w14:textId="77777777" w:rsidR="001E02CB" w:rsidRDefault="00AC0345" w:rsidP="001E02CB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r w:rsidRPr="001E02CB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 xml:space="preserve">and copy to </w:t>
            </w:r>
          </w:p>
          <w:p w14:paraId="579DABC2" w14:textId="77777777" w:rsidR="001E02CB" w:rsidRDefault="001E02CB" w:rsidP="001E02CB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</w:p>
          <w:p w14:paraId="09EE6F90" w14:textId="784A5B4E" w:rsidR="00AC0345" w:rsidRPr="001E02CB" w:rsidRDefault="001E02CB" w:rsidP="001E02CB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</w:pPr>
            <w:bookmarkStart w:id="1" w:name="_GoBack"/>
            <w:bookmarkEnd w:id="1"/>
            <w:r w:rsidRPr="001E02CB">
              <w:rPr>
                <w:rFonts w:ascii="Arial" w:eastAsia="Times New Roman" w:hAnsi="Arial" w:cs="Arial"/>
                <w:color w:val="333333"/>
                <w:sz w:val="24"/>
                <w:szCs w:val="24"/>
                <w:lang w:val="en-US" w:eastAsia="en-GB"/>
              </w:rPr>
              <w:t>WiN Global Deputy General Secretary at</w:t>
            </w:r>
            <w:r w:rsidRPr="001E02CB">
              <w:rPr>
                <w:rFonts w:ascii="Arial" w:eastAsia="Calibri" w:hAnsi="Arial" w:cs="Arial"/>
                <w:sz w:val="24"/>
                <w:szCs w:val="24"/>
              </w:rPr>
              <w:t>:</w:t>
            </w:r>
            <w:r w:rsidRPr="001E02CB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1E02CB">
                <w:rPr>
                  <w:rStyle w:val="Lienhypertexte"/>
                  <w:rFonts w:ascii="Helvetica" w:hAnsi="Helvetica" w:cs="Helvetica"/>
                  <w:color w:val="196AD4"/>
                  <w:sz w:val="20"/>
                  <w:szCs w:val="20"/>
                  <w:shd w:val="clear" w:color="auto" w:fill="FFFFFF"/>
                </w:rPr>
                <w:t>naida.dzigal89@gmail.com</w:t>
              </w:r>
            </w:hyperlink>
          </w:p>
          <w:p w14:paraId="2962CA56" w14:textId="77777777" w:rsidR="001E02CB" w:rsidRDefault="001E02CB" w:rsidP="00EA0EB5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14:paraId="6615C9CC" w14:textId="3939F6F8" w:rsidR="00433A89" w:rsidRPr="00621DA5" w:rsidRDefault="00606D92" w:rsidP="00621DA5">
            <w:pPr>
              <w:pStyle w:val="Paragraphedeliste"/>
              <w:shd w:val="clear" w:color="auto" w:fill="FFFFFF"/>
              <w:spacing w:before="240"/>
              <w:ind w:left="360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</w:rPr>
              <w:t>A formal acknowledgement of receipt of application will be sent within 7 working days. If this acknowledgement is not received please contact the WiN Global Awards Committee Chair.</w:t>
            </w:r>
          </w:p>
        </w:tc>
      </w:tr>
    </w:tbl>
    <w:p w14:paraId="23A71549" w14:textId="77777777" w:rsidR="00EA0EB5" w:rsidRDefault="00EA0EB5" w:rsidP="00595486">
      <w:pPr>
        <w:widowControl w:val="0"/>
        <w:wordWrap w:val="0"/>
        <w:autoSpaceDE w:val="0"/>
        <w:autoSpaceDN w:val="0"/>
        <w:spacing w:after="0" w:line="240" w:lineRule="auto"/>
        <w:rPr>
          <w:rFonts w:ascii="Arial" w:eastAsia="Batang" w:hAnsi="Arial" w:cs="Arial"/>
          <w:b/>
          <w:color w:val="00B0F0"/>
          <w:kern w:val="2"/>
          <w:sz w:val="32"/>
          <w:szCs w:val="32"/>
          <w:lang w:eastAsia="ko-KR"/>
        </w:rPr>
      </w:pPr>
    </w:p>
    <w:p w14:paraId="7414C2D2" w14:textId="6D695084" w:rsidR="00595486" w:rsidRDefault="00595486" w:rsidP="00C53FF7"/>
    <w:sectPr w:rsidR="00595486" w:rsidSect="00055115">
      <w:headerReference w:type="default" r:id="rId12"/>
      <w:footerReference w:type="default" r:id="rId13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0D2C" w14:textId="77777777" w:rsidR="0036434F" w:rsidRDefault="0036434F" w:rsidP="00055115">
      <w:pPr>
        <w:spacing w:after="0" w:line="240" w:lineRule="auto"/>
      </w:pPr>
      <w:r>
        <w:separator/>
      </w:r>
    </w:p>
  </w:endnote>
  <w:endnote w:type="continuationSeparator" w:id="0">
    <w:p w14:paraId="28CED17A" w14:textId="77777777" w:rsidR="0036434F" w:rsidRDefault="0036434F" w:rsidP="0005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B0F0"/>
      </w:rPr>
      <w:id w:val="159894115"/>
      <w:docPartObj>
        <w:docPartGallery w:val="Page Numbers (Bottom of Page)"/>
        <w:docPartUnique/>
      </w:docPartObj>
    </w:sdtPr>
    <w:sdtEndPr/>
    <w:sdtContent>
      <w:sdt>
        <w:sdtPr>
          <w:rPr>
            <w:color w:val="00B0F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2FA2B3" w14:textId="77777777" w:rsidR="00055115" w:rsidRPr="00055115" w:rsidRDefault="00055115">
            <w:pPr>
              <w:pStyle w:val="Pieddepage"/>
              <w:jc w:val="right"/>
              <w:rPr>
                <w:color w:val="00B0F0"/>
              </w:rPr>
            </w:pPr>
            <w:r w:rsidRPr="00055115">
              <w:rPr>
                <w:color w:val="00B0F0"/>
              </w:rPr>
              <w:t xml:space="preserve">Page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PAGE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1E02CB">
              <w:rPr>
                <w:b/>
                <w:bCs/>
                <w:noProof/>
                <w:color w:val="00B0F0"/>
              </w:rPr>
              <w:t>3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055115">
              <w:rPr>
                <w:color w:val="00B0F0"/>
              </w:rPr>
              <w:t xml:space="preserve"> of 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055115">
              <w:rPr>
                <w:b/>
                <w:bCs/>
                <w:color w:val="00B0F0"/>
              </w:rPr>
              <w:instrText xml:space="preserve"> NUMPAGES  </w:instrTex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1E02CB">
              <w:rPr>
                <w:b/>
                <w:bCs/>
                <w:noProof/>
                <w:color w:val="00B0F0"/>
              </w:rPr>
              <w:t>3</w:t>
            </w:r>
            <w:r w:rsidRPr="00055115">
              <w:rPr>
                <w:b/>
                <w:bCs/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4381940E" w14:textId="77777777" w:rsidR="00055115" w:rsidRPr="00055115" w:rsidRDefault="00055115">
    <w:pPr>
      <w:pStyle w:val="Pieddepage"/>
      <w:rPr>
        <w:rFonts w:ascii="Arial" w:eastAsia="Cambria" w:hAnsi="Arial" w:cs="Arial"/>
        <w:sz w:val="20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Women In Nuclear Global (WiN) Registered office: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 </w:t>
    </w:r>
    <w:r w:rsidRPr="00055115">
      <w:rPr>
        <w:rFonts w:ascii="Arial" w:eastAsia="Cambria" w:hAnsi="Arial" w:cs="Arial"/>
        <w:sz w:val="20"/>
        <w:szCs w:val="18"/>
      </w:rPr>
      <w:t xml:space="preserve">A-2380 </w:t>
    </w:r>
    <w:proofErr w:type="spellStart"/>
    <w:r w:rsidRPr="00055115">
      <w:rPr>
        <w:rFonts w:ascii="Arial" w:eastAsia="Cambria" w:hAnsi="Arial" w:cs="Arial"/>
        <w:sz w:val="20"/>
        <w:szCs w:val="18"/>
      </w:rPr>
      <w:t>Perchtoldsdorf</w:t>
    </w:r>
    <w:proofErr w:type="spellEnd"/>
    <w:r w:rsidRPr="00055115">
      <w:rPr>
        <w:rFonts w:ascii="Arial" w:eastAsia="Cambria" w:hAnsi="Arial" w:cs="Arial"/>
        <w:sz w:val="20"/>
        <w:szCs w:val="18"/>
      </w:rPr>
      <w:t>, Lower Austria.</w:t>
    </w:r>
  </w:p>
  <w:p w14:paraId="5D19AD8F" w14:textId="77777777" w:rsidR="00055115" w:rsidRPr="00055115" w:rsidRDefault="00055115">
    <w:pPr>
      <w:pStyle w:val="Pieddepage"/>
      <w:rPr>
        <w:sz w:val="18"/>
        <w:szCs w:val="18"/>
      </w:rPr>
    </w:pP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 xml:space="preserve">Women In Nuclear Global (WiN) </w:t>
    </w:r>
    <w:r>
      <w:rPr>
        <w:rFonts w:ascii="Arial" w:eastAsia="Times New Roman" w:hAnsi="Arial" w:cs="Arial"/>
        <w:color w:val="333333"/>
        <w:sz w:val="20"/>
        <w:szCs w:val="20"/>
        <w:lang w:eastAsia="en-GB"/>
      </w:rPr>
      <w:t>W</w:t>
    </w:r>
    <w:r w:rsidRPr="00055115">
      <w:rPr>
        <w:rFonts w:ascii="Arial" w:eastAsia="Times New Roman" w:hAnsi="Arial" w:cs="Arial"/>
        <w:color w:val="333333"/>
        <w:sz w:val="20"/>
        <w:szCs w:val="20"/>
        <w:lang w:eastAsia="en-GB"/>
      </w:rPr>
      <w:t>ebsite: </w:t>
    </w:r>
    <w:hyperlink r:id="rId1" w:history="1">
      <w:r w:rsidRPr="00055115">
        <w:rPr>
          <w:rStyle w:val="Lienhypertexte"/>
          <w:rFonts w:ascii="Arial" w:eastAsia="Times New Roman" w:hAnsi="Arial" w:cs="Arial"/>
          <w:color w:val="FF0000"/>
          <w:sz w:val="20"/>
          <w:szCs w:val="20"/>
          <w:lang w:eastAsia="en-GB"/>
        </w:rPr>
        <w:t>www.win-global.org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088CF" w14:textId="77777777" w:rsidR="0036434F" w:rsidRDefault="0036434F" w:rsidP="00055115">
      <w:pPr>
        <w:spacing w:after="0" w:line="240" w:lineRule="auto"/>
      </w:pPr>
      <w:r>
        <w:separator/>
      </w:r>
    </w:p>
  </w:footnote>
  <w:footnote w:type="continuationSeparator" w:id="0">
    <w:p w14:paraId="2EB9B5D3" w14:textId="77777777" w:rsidR="0036434F" w:rsidRDefault="0036434F" w:rsidP="0005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B74EF" w14:textId="748F5133" w:rsidR="00055115" w:rsidRDefault="00B23B63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40A6919C" wp14:editId="144D004A">
          <wp:simplePos x="0" y="0"/>
          <wp:positionH relativeFrom="column">
            <wp:posOffset>4243070</wp:posOffset>
          </wp:positionH>
          <wp:positionV relativeFrom="paragraph">
            <wp:posOffset>-440055</wp:posOffset>
          </wp:positionV>
          <wp:extent cx="1504950" cy="1504950"/>
          <wp:effectExtent l="0" t="0" r="0" b="0"/>
          <wp:wrapTight wrapText="bothSides">
            <wp:wrapPolygon edited="0">
              <wp:start x="6835" y="3828"/>
              <wp:lineTo x="2187" y="8203"/>
              <wp:lineTo x="2187" y="13124"/>
              <wp:lineTo x="2734" y="17499"/>
              <wp:lineTo x="18866" y="17499"/>
              <wp:lineTo x="19686" y="9843"/>
              <wp:lineTo x="18592" y="8749"/>
              <wp:lineTo x="15038" y="8749"/>
              <wp:lineTo x="9843" y="3828"/>
              <wp:lineTo x="6835" y="382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1BC9B" w14:textId="77777777" w:rsidR="00055115" w:rsidRDefault="000551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01C4F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5F17"/>
    <w:multiLevelType w:val="hybridMultilevel"/>
    <w:tmpl w:val="62B4E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220ABB"/>
    <w:multiLevelType w:val="hybridMultilevel"/>
    <w:tmpl w:val="AA503FD2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F246D0B"/>
    <w:multiLevelType w:val="hybridMultilevel"/>
    <w:tmpl w:val="28083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3A2947"/>
    <w:multiLevelType w:val="hybridMultilevel"/>
    <w:tmpl w:val="6CAE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633134"/>
    <w:multiLevelType w:val="hybridMultilevel"/>
    <w:tmpl w:val="75302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CE86F36"/>
    <w:multiLevelType w:val="hybridMultilevel"/>
    <w:tmpl w:val="764E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E36093"/>
    <w:multiLevelType w:val="hybridMultilevel"/>
    <w:tmpl w:val="8612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770AFF"/>
    <w:multiLevelType w:val="hybridMultilevel"/>
    <w:tmpl w:val="2DA2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F916B10"/>
    <w:multiLevelType w:val="hybridMultilevel"/>
    <w:tmpl w:val="66368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57FE3"/>
    <w:multiLevelType w:val="hybridMultilevel"/>
    <w:tmpl w:val="070008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329F0"/>
    <w:multiLevelType w:val="hybridMultilevel"/>
    <w:tmpl w:val="20E8B4C4"/>
    <w:lvl w:ilvl="0" w:tplc="3626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1E9DD8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3920D3"/>
    <w:multiLevelType w:val="hybridMultilevel"/>
    <w:tmpl w:val="D026C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25CE9"/>
    <w:multiLevelType w:val="hybridMultilevel"/>
    <w:tmpl w:val="6458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4EF105D"/>
    <w:multiLevelType w:val="multilevel"/>
    <w:tmpl w:val="C7E8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650C37"/>
    <w:multiLevelType w:val="hybridMultilevel"/>
    <w:tmpl w:val="79F40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7AF617B"/>
    <w:multiLevelType w:val="hybridMultilevel"/>
    <w:tmpl w:val="DDAA4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8E72B73"/>
    <w:multiLevelType w:val="hybridMultilevel"/>
    <w:tmpl w:val="3AA67F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C5420C"/>
    <w:multiLevelType w:val="hybridMultilevel"/>
    <w:tmpl w:val="00ECA172"/>
    <w:lvl w:ilvl="0" w:tplc="37A632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0E54F6"/>
    <w:multiLevelType w:val="hybridMultilevel"/>
    <w:tmpl w:val="EFC60B6A"/>
    <w:lvl w:ilvl="0" w:tplc="1C381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16"/>
  </w:num>
  <w:num w:numId="8">
    <w:abstractNumId w:val="3"/>
  </w:num>
  <w:num w:numId="9">
    <w:abstractNumId w:val="4"/>
  </w:num>
  <w:num w:numId="10">
    <w:abstractNumId w:val="15"/>
  </w:num>
  <w:num w:numId="11">
    <w:abstractNumId w:val="7"/>
  </w:num>
  <w:num w:numId="12">
    <w:abstractNumId w:val="13"/>
  </w:num>
  <w:num w:numId="13">
    <w:abstractNumId w:val="6"/>
  </w:num>
  <w:num w:numId="14">
    <w:abstractNumId w:val="5"/>
  </w:num>
  <w:num w:numId="15">
    <w:abstractNumId w:val="8"/>
  </w:num>
  <w:num w:numId="16">
    <w:abstractNumId w:val="17"/>
  </w:num>
  <w:num w:numId="17">
    <w:abstractNumId w:val="12"/>
  </w:num>
  <w:num w:numId="18">
    <w:abstractNumId w:val="1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8"/>
  </w:num>
  <w:num w:numId="23">
    <w:abstractNumId w:val="19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6"/>
    <w:rsid w:val="00001E64"/>
    <w:rsid w:val="00033DC5"/>
    <w:rsid w:val="0004128F"/>
    <w:rsid w:val="00047AE5"/>
    <w:rsid w:val="00055115"/>
    <w:rsid w:val="00077A85"/>
    <w:rsid w:val="000859D8"/>
    <w:rsid w:val="000A0A04"/>
    <w:rsid w:val="000C5E86"/>
    <w:rsid w:val="000D0901"/>
    <w:rsid w:val="00104538"/>
    <w:rsid w:val="00110DB4"/>
    <w:rsid w:val="00130649"/>
    <w:rsid w:val="0014332F"/>
    <w:rsid w:val="00145185"/>
    <w:rsid w:val="00174D36"/>
    <w:rsid w:val="00180222"/>
    <w:rsid w:val="00190C64"/>
    <w:rsid w:val="001D6738"/>
    <w:rsid w:val="001E02CB"/>
    <w:rsid w:val="001E0874"/>
    <w:rsid w:val="001F1CE8"/>
    <w:rsid w:val="00233D97"/>
    <w:rsid w:val="00235175"/>
    <w:rsid w:val="00297575"/>
    <w:rsid w:val="002A7B0E"/>
    <w:rsid w:val="002B29A0"/>
    <w:rsid w:val="002D2318"/>
    <w:rsid w:val="003132DA"/>
    <w:rsid w:val="0031407E"/>
    <w:rsid w:val="003568EF"/>
    <w:rsid w:val="00357824"/>
    <w:rsid w:val="0036434F"/>
    <w:rsid w:val="00380556"/>
    <w:rsid w:val="00393889"/>
    <w:rsid w:val="003B2A5F"/>
    <w:rsid w:val="003F1D21"/>
    <w:rsid w:val="004011B0"/>
    <w:rsid w:val="00417772"/>
    <w:rsid w:val="004225BF"/>
    <w:rsid w:val="00433904"/>
    <w:rsid w:val="00433A89"/>
    <w:rsid w:val="00481C08"/>
    <w:rsid w:val="00484582"/>
    <w:rsid w:val="00486F56"/>
    <w:rsid w:val="004C7690"/>
    <w:rsid w:val="004D4C31"/>
    <w:rsid w:val="00520A69"/>
    <w:rsid w:val="00520B1B"/>
    <w:rsid w:val="00520EF9"/>
    <w:rsid w:val="0053732E"/>
    <w:rsid w:val="00595486"/>
    <w:rsid w:val="005B1E8E"/>
    <w:rsid w:val="005C640E"/>
    <w:rsid w:val="005D7FEF"/>
    <w:rsid w:val="005F06C4"/>
    <w:rsid w:val="005F74B2"/>
    <w:rsid w:val="00603C2E"/>
    <w:rsid w:val="00606D92"/>
    <w:rsid w:val="00613CD5"/>
    <w:rsid w:val="00614212"/>
    <w:rsid w:val="0061481C"/>
    <w:rsid w:val="00621DA5"/>
    <w:rsid w:val="0062259F"/>
    <w:rsid w:val="00626AE5"/>
    <w:rsid w:val="006303A3"/>
    <w:rsid w:val="00630DFD"/>
    <w:rsid w:val="00646A3E"/>
    <w:rsid w:val="0068729D"/>
    <w:rsid w:val="00692ECD"/>
    <w:rsid w:val="006B1E20"/>
    <w:rsid w:val="006B3692"/>
    <w:rsid w:val="006B6177"/>
    <w:rsid w:val="006E6DA6"/>
    <w:rsid w:val="006F0E2F"/>
    <w:rsid w:val="007039BF"/>
    <w:rsid w:val="007118AC"/>
    <w:rsid w:val="00713898"/>
    <w:rsid w:val="007176FA"/>
    <w:rsid w:val="007D4605"/>
    <w:rsid w:val="007E0B5D"/>
    <w:rsid w:val="00825392"/>
    <w:rsid w:val="00895C60"/>
    <w:rsid w:val="008B4B2C"/>
    <w:rsid w:val="00910109"/>
    <w:rsid w:val="00914F81"/>
    <w:rsid w:val="00971EB5"/>
    <w:rsid w:val="00973F1E"/>
    <w:rsid w:val="009F01AD"/>
    <w:rsid w:val="00A012BD"/>
    <w:rsid w:val="00A122EB"/>
    <w:rsid w:val="00A22A96"/>
    <w:rsid w:val="00A50E3E"/>
    <w:rsid w:val="00A64D68"/>
    <w:rsid w:val="00A743A9"/>
    <w:rsid w:val="00AC0345"/>
    <w:rsid w:val="00AD0E3E"/>
    <w:rsid w:val="00AD64AD"/>
    <w:rsid w:val="00B213C2"/>
    <w:rsid w:val="00B23B63"/>
    <w:rsid w:val="00B35E25"/>
    <w:rsid w:val="00B608A0"/>
    <w:rsid w:val="00B84490"/>
    <w:rsid w:val="00BA6085"/>
    <w:rsid w:val="00BB6BD7"/>
    <w:rsid w:val="00BC0775"/>
    <w:rsid w:val="00BC372F"/>
    <w:rsid w:val="00BE7E6D"/>
    <w:rsid w:val="00BF194E"/>
    <w:rsid w:val="00C067AF"/>
    <w:rsid w:val="00C154C9"/>
    <w:rsid w:val="00C31279"/>
    <w:rsid w:val="00C53FF7"/>
    <w:rsid w:val="00C63AF1"/>
    <w:rsid w:val="00C7167A"/>
    <w:rsid w:val="00C85C58"/>
    <w:rsid w:val="00C92345"/>
    <w:rsid w:val="00D13662"/>
    <w:rsid w:val="00D21F74"/>
    <w:rsid w:val="00D24797"/>
    <w:rsid w:val="00D453E4"/>
    <w:rsid w:val="00D56E4A"/>
    <w:rsid w:val="00D801E4"/>
    <w:rsid w:val="00D803E2"/>
    <w:rsid w:val="00DB1152"/>
    <w:rsid w:val="00DC448C"/>
    <w:rsid w:val="00DC6443"/>
    <w:rsid w:val="00DF5AA5"/>
    <w:rsid w:val="00E1115D"/>
    <w:rsid w:val="00E679C2"/>
    <w:rsid w:val="00E727D7"/>
    <w:rsid w:val="00E7301D"/>
    <w:rsid w:val="00EA0EB5"/>
    <w:rsid w:val="00EB4845"/>
    <w:rsid w:val="00ED56C8"/>
    <w:rsid w:val="00ED67D0"/>
    <w:rsid w:val="00EE3F69"/>
    <w:rsid w:val="00EE6B5D"/>
    <w:rsid w:val="00EE7D55"/>
    <w:rsid w:val="00F006D8"/>
    <w:rsid w:val="00F06BAB"/>
    <w:rsid w:val="00F51060"/>
    <w:rsid w:val="00F82571"/>
    <w:rsid w:val="00F84699"/>
    <w:rsid w:val="00F92660"/>
    <w:rsid w:val="00FA5F00"/>
    <w:rsid w:val="00FB5C99"/>
    <w:rsid w:val="00FC0EE3"/>
    <w:rsid w:val="00FD6EB5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5A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520E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0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BB6BD7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2D2318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2318"/>
    <w:rPr>
      <w:rFonts w:eastAsiaTheme="minorHAns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D2318"/>
    <w:rPr>
      <w:sz w:val="16"/>
      <w:szCs w:val="16"/>
    </w:rPr>
  </w:style>
  <w:style w:type="table" w:customStyle="1" w:styleId="TableGrid11">
    <w:name w:val="Table Grid11"/>
    <w:basedOn w:val="TableauNormal"/>
    <w:next w:val="Grilledutableau"/>
    <w:uiPriority w:val="59"/>
    <w:unhideWhenUsed/>
    <w:rsid w:val="0041777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AD0E3E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0E3E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4845"/>
    <w:rPr>
      <w:rFonts w:eastAsiaTheme="minorEastAsi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4845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5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0C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re3">
    <w:name w:val="heading 3"/>
    <w:basedOn w:val="Normal"/>
    <w:link w:val="Titre3Car"/>
    <w:uiPriority w:val="9"/>
    <w:qFormat/>
    <w:rsid w:val="000C5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E8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0C5E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itre3Car">
    <w:name w:val="Titre 3 Car"/>
    <w:basedOn w:val="Policepardfaut"/>
    <w:link w:val="Titre3"/>
    <w:uiPriority w:val="9"/>
    <w:rsid w:val="000C5E8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enhypertexte">
    <w:name w:val="Hyperlink"/>
    <w:basedOn w:val="Policepardfaut"/>
    <w:uiPriority w:val="99"/>
    <w:unhideWhenUsed/>
    <w:rsid w:val="000C5E8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C5E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C5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3F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5115"/>
  </w:style>
  <w:style w:type="paragraph" w:styleId="Pieddepage">
    <w:name w:val="footer"/>
    <w:basedOn w:val="Normal"/>
    <w:link w:val="PieddepageCar"/>
    <w:uiPriority w:val="99"/>
    <w:unhideWhenUsed/>
    <w:rsid w:val="00055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5115"/>
  </w:style>
  <w:style w:type="table" w:customStyle="1" w:styleId="TableGrid1">
    <w:name w:val="Table Grid1"/>
    <w:basedOn w:val="TableauNormal"/>
    <w:next w:val="Grilledutableau"/>
    <w:uiPriority w:val="59"/>
    <w:unhideWhenUsed/>
    <w:rsid w:val="00F0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auNormal"/>
    <w:next w:val="Grilledutableau"/>
    <w:rsid w:val="00595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Policepardfaut"/>
    <w:uiPriority w:val="99"/>
    <w:semiHidden/>
    <w:unhideWhenUsed/>
    <w:rsid w:val="00EA0EB5"/>
    <w:rPr>
      <w:color w:val="605E5C"/>
      <w:shd w:val="clear" w:color="auto" w:fill="E1DFDD"/>
    </w:rPr>
  </w:style>
  <w:style w:type="paragraph" w:styleId="Retraitcorpsdetexte">
    <w:name w:val="Body Text Indent"/>
    <w:basedOn w:val="Normal"/>
    <w:link w:val="RetraitcorpsdetexteCar"/>
    <w:rsid w:val="00520E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traitcorpsdetexteCar">
    <w:name w:val="Retrait corps de texte Car"/>
    <w:basedOn w:val="Policepardfaut"/>
    <w:link w:val="Retraitcorpsdetexte"/>
    <w:rsid w:val="00520E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sinterligne">
    <w:name w:val="No Spacing"/>
    <w:uiPriority w:val="1"/>
    <w:qFormat/>
    <w:rsid w:val="00BB6BD7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2D2318"/>
    <w:pPr>
      <w:spacing w:line="240" w:lineRule="auto"/>
    </w:pPr>
    <w:rPr>
      <w:rFonts w:eastAsiaTheme="minorHAns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2318"/>
    <w:rPr>
      <w:rFonts w:eastAsiaTheme="minorHAnsi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D2318"/>
    <w:rPr>
      <w:sz w:val="16"/>
      <w:szCs w:val="16"/>
    </w:rPr>
  </w:style>
  <w:style w:type="table" w:customStyle="1" w:styleId="TableGrid11">
    <w:name w:val="Table Grid11"/>
    <w:basedOn w:val="TableauNormal"/>
    <w:next w:val="Grilledutableau"/>
    <w:uiPriority w:val="59"/>
    <w:unhideWhenUsed/>
    <w:rsid w:val="0041777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AD0E3E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D0E3E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4845"/>
    <w:rPr>
      <w:rFonts w:eastAsiaTheme="minorEastAsi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4845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5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ida.dzigal89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wardscommitteechairwingloba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in-global.org/awards/honorar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-glob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7EA4-DA3B-4901-B744-8BEF3897E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Flannery</dc:creator>
  <cp:lastModifiedBy>khadija bendam</cp:lastModifiedBy>
  <cp:revision>3</cp:revision>
  <cp:lastPrinted>2019-03-26T15:11:00Z</cp:lastPrinted>
  <dcterms:created xsi:type="dcterms:W3CDTF">2023-01-09T14:52:00Z</dcterms:created>
  <dcterms:modified xsi:type="dcterms:W3CDTF">2023-04-03T10:14:00Z</dcterms:modified>
</cp:coreProperties>
</file>